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280"/>
      </w:pPr>
      <w:r>
        <w:rPr>
          <w:rFonts w:ascii="Arial" w:cs="Arial" w:eastAsia="Arial" w:hAnsi="Arial"/>
          <w:b/>
          <w:bCs/>
          <w:color w:val="005DD6"/>
          <w:sz w:val="18"/>
          <w:szCs w:val="18"/>
        </w:rPr>
        <w:t xml:space="preserve">BLUE PRYSM</w:t>
      </w:r>
    </w:p>
    <w:p>
      <w:pPr>
        <w:spacing w:after="100"/>
      </w:pPr>
      <w:r>
        <w:rPr>
          <w:rFonts w:ascii="Arial" w:cs="Arial" w:eastAsia="Arial" w:hAnsi="Arial"/>
          <w:b/>
          <w:bCs/>
          <w:color w:val="12141A"/>
          <w:sz w:val="42"/>
          <w:szCs w:val="42"/>
        </w:rPr>
        <w:t xml:space="preserve">Spectrum position review checklist</w:t>
      </w:r>
    </w:p>
    <w:p>
      <w:pPr>
        <w:spacing w:after="60" w:line="280"/>
      </w:pPr>
      <w:r>
        <w:rPr>
          <w:rFonts w:ascii="Arial" w:cs="Arial" w:eastAsia="Arial" w:hAnsi="Arial"/>
          <w:color w:val="5F6472"/>
          <w:sz w:val="24"/>
          <w:szCs w:val="24"/>
        </w:rPr>
        <w:t xml:space="preserve">Arriving at a number you can defend to a board, before the auction rather than during it.</w:t>
      </w:r>
    </w:p>
    <w:p>
      <w:pPr>
        <w:spacing w:after="140" w:line="280"/>
      </w:pPr>
      <w:r>
        <w:rPr>
          <w:rFonts w:ascii="Arial" w:cs="Arial" w:eastAsia="Arial" w:hAnsi="Arial"/>
          <w:color w:val="5F6472"/>
          <w:sz w:val="18"/>
          <w:szCs w:val="18"/>
        </w:rPr>
        <w:t xml:space="preserve">Version 1.0 · September 2026 · Free to use and to share · No sign-up required</w:t>
      </w:r>
    </w:p>
    <w:p>
      <w:pPr>
        <w:pBdr>
          <w:bottom w:val="single" w:color="DCDAD3" w:sz="6"/>
        </w:pBdr>
        <w:spacing w:after="200" w:before="60"/>
      </w:pPr>
    </w:p>
    <w:p>
      <w:pPr>
        <w:spacing w:after="140" w:line="280"/>
      </w:pPr>
      <w:r>
        <w:rPr>
          <w:rFonts w:ascii="Arial" w:cs="Arial" w:eastAsia="Arial" w:hAnsi="Arial"/>
          <w:color w:val="12141A"/>
          <w:sz w:val="21"/>
          <w:szCs w:val="21"/>
        </w:rPr>
        <w:t xml:space="preserve">Everyone in the room will quote a comparable. Most of them will quote the wrong one — a national average for a position that is nothing like national, or a headline price from a transaction that priced something else. This checklist is the work that produces a number you can defend under questioning: what comparable licences actually cleared at, how much depth the service you are selling needs, what the band does not buy you, who else is likely bidding, and the price at which you walk away.</w:t>
      </w:r>
    </w:p>
    <w:p>
      <w:pPr>
        <w:spacing w:after="140" w:line="280"/>
      </w:pPr>
      <w:r>
        <w:rPr>
          <w:rFonts w:ascii="Arial" w:cs="Arial" w:eastAsia="Arial" w:hAnsi="Arial"/>
          <w:color w:val="12141A"/>
          <w:sz w:val="21"/>
          <w:szCs w:val="21"/>
        </w:rPr>
        <w:t xml:space="preserve">It will not tell you what spectrum is worth. Nothing can — worth is specific to what you would sell over it. What it will do is stop you paying a premium for a comparable that does not apply to you.</w:t>
      </w:r>
    </w:p>
    <w:p>
      <w:pPr>
        <w:pStyle w:val="Heading1"/>
        <w:spacing w:after="140" w:before="360"/>
      </w:pPr>
      <w:r>
        <w:rPr>
          <w:rFonts w:ascii="Arial" w:cs="Arial" w:eastAsia="Arial" w:hAnsi="Arial"/>
          <w:b/>
          <w:bCs/>
          <w:color w:val="12141A"/>
          <w:sz w:val="30"/>
          <w:szCs w:val="30"/>
        </w:rPr>
        <w:t xml:space="preserve">How to use it</w:t>
      </w:r>
    </w:p>
    <w:p>
      <w:pPr>
        <w:spacing w:after="140" w:line="280"/>
      </w:pPr>
      <w:r>
        <w:rPr>
          <w:rFonts w:ascii="Arial" w:cs="Arial" w:eastAsia="Arial" w:hAnsi="Arial"/>
          <w:color w:val="12141A"/>
          <w:sz w:val="21"/>
          <w:szCs w:val="21"/>
        </w:rPr>
        <w:t xml:space="preserve">Five sections, each a short set of questions with a place to record the answer and its source. Work them in order: the later sections depend on the earlier ones. Expect the whole thing to take a team two to three working days, most of it in section one.</w:t>
      </w:r>
    </w:p>
    <w:p>
      <w:pPr>
        <w:spacing w:after="140" w:line="280"/>
      </w:pPr>
      <w:r>
        <w:rPr>
          <w:rFonts w:ascii="Arial" w:cs="Arial" w:eastAsia="Arial" w:hAnsi="Arial"/>
          <w:color w:val="12141A"/>
          <w:sz w:val="21"/>
          <w:szCs w:val="21"/>
        </w:rPr>
        <w:t xml:space="preserve">Every answer needs a source. An unsourced answer in this document is a guess wearing a suit, and it will be found in the board meeting rather than before it.</w:t>
      </w:r>
    </w:p>
    <w:p>
      <w:pPr>
        <w:pStyle w:val="Heading1"/>
        <w:spacing w:after="140" w:before="360"/>
      </w:pPr>
      <w:r>
        <w:rPr>
          <w:rFonts w:ascii="Arial" w:cs="Arial" w:eastAsia="Arial" w:hAnsi="Arial"/>
          <w:b/>
          <w:bCs/>
          <w:color w:val="12141A"/>
          <w:sz w:val="30"/>
          <w:szCs w:val="30"/>
        </w:rPr>
        <w:t xml:space="preserve">1 · What comparable licences actually cleared at</w:t>
      </w:r>
    </w:p>
    <w:p>
      <w:pPr>
        <w:spacing w:after="140" w:line="280"/>
      </w:pPr>
      <w:r>
        <w:rPr>
          <w:rFonts w:ascii="Arial" w:cs="Arial" w:eastAsia="Arial" w:hAnsi="Arial"/>
          <w:color w:val="12141A"/>
          <w:sz w:val="21"/>
          <w:szCs w:val="21"/>
        </w:rPr>
        <w:t xml:space="preserve">The unit that makes two transactions comparable is dollars per megahertz per person covered — $/MHz-POP. Convert everything into it before you compare anything.</w:t>
      </w:r>
    </w:p>
    <w:p>
      <w:pPr>
        <w:pStyle w:val="ListParagraph"/>
        <w:numPr>
          <w:ilvl w:val="0"/>
          <w:numId w:val="2"/>
        </w:numPr>
        <w:spacing w:after="110" w:line="280"/>
      </w:pPr>
      <w:r>
        <w:rPr>
          <w:rFonts w:ascii="Arial" w:cs="Arial" w:eastAsia="Arial" w:hAnsi="Arial"/>
          <w:color w:val="12141A"/>
          <w:sz w:val="21"/>
          <w:szCs w:val="21"/>
        </w:rPr>
        <w:t xml:space="preserve">Which band group is your position in? Low band, mid band 1.7–2.2 GHz, mid band 3.4–4.0 GHz, or shared/CBRS.</w:t>
      </w:r>
    </w:p>
    <w:p>
      <w:pPr>
        <w:pStyle w:val="ListParagraph"/>
        <w:numPr>
          <w:ilvl w:val="0"/>
          <w:numId w:val="2"/>
        </w:numPr>
        <w:spacing w:after="110" w:line="280"/>
      </w:pPr>
      <w:r>
        <w:rPr>
          <w:rFonts w:ascii="Arial" w:cs="Arial" w:eastAsia="Arial" w:hAnsi="Arial"/>
          <w:color w:val="12141A"/>
          <w:sz w:val="21"/>
          <w:szCs w:val="21"/>
        </w:rPr>
        <w:t xml:space="preserve">Which transactions in that band group have settled, and what did each clear at per MHz-POP?</w:t>
      </w:r>
    </w:p>
    <w:p>
      <w:pPr>
        <w:pStyle w:val="ListParagraph"/>
        <w:numPr>
          <w:ilvl w:val="0"/>
          <w:numId w:val="2"/>
        </w:numPr>
        <w:spacing w:after="110" w:line="280"/>
      </w:pPr>
      <w:r>
        <w:rPr>
          <w:rFonts w:ascii="Arial" w:cs="Arial" w:eastAsia="Arial" w:hAnsi="Arial"/>
          <w:color w:val="12141A"/>
          <w:sz w:val="21"/>
          <w:szCs w:val="21"/>
        </w:rPr>
        <w:t xml:space="preserve">For each one: was it priced per licence or national-equivalent? Mixing the two bases is the commonest error in this work.</w:t>
      </w:r>
    </w:p>
    <w:p>
      <w:pPr>
        <w:pStyle w:val="ListParagraph"/>
        <w:numPr>
          <w:ilvl w:val="0"/>
          <w:numId w:val="2"/>
        </w:numPr>
        <w:spacing w:after="110" w:line="280"/>
      </w:pPr>
      <w:r>
        <w:rPr>
          <w:rFonts w:ascii="Arial" w:cs="Arial" w:eastAsia="Arial" w:hAnsi="Arial"/>
          <w:color w:val="12141A"/>
          <w:sz w:val="21"/>
          <w:szCs w:val="21"/>
        </w:rPr>
        <w:t xml:space="preserve">Is the comparable you are leaning on actually comparable? Leftover inventory in dense markets, and overlay licences covering only whitespace, are not.</w:t>
      </w:r>
    </w:p>
    <w:p>
      <w:pPr>
        <w:pStyle w:val="ListParagraph"/>
        <w:numPr>
          <w:ilvl w:val="0"/>
          <w:numId w:val="2"/>
        </w:numPr>
        <w:spacing w:after="110" w:line="280"/>
      </w:pPr>
      <w:r>
        <w:rPr>
          <w:rFonts w:ascii="Arial" w:cs="Arial" w:eastAsia="Arial" w:hAnsi="Arial"/>
          <w:color w:val="12141A"/>
          <w:sz w:val="21"/>
          <w:szCs w:val="21"/>
        </w:rPr>
        <w:t xml:space="preserve">If your position is low band: do you have a verified comparable, or are you inferring one? Write down which.</w:t>
      </w:r>
    </w:p>
    <w:p>
      <w:pPr>
        <w:spacing w:after="100" w:line="280"/>
      </w:pPr>
      <w:r>
        <w:rPr>
          <w:rFonts w:ascii="Arial" w:cs="Arial" w:eastAsia="Arial" w:hAnsi="Arial"/>
          <w:b/>
          <w:bCs/>
          <w:color w:val="12141A"/>
          <w:sz w:val="21"/>
          <w:szCs w:val="21"/>
        </w:rPr>
        <w:t xml:space="preserve">The public US record, as at 17 September 2026:</w:t>
      </w:r>
    </w:p>
    <w:tbl>
      <w:tblPr>
        <w:tblW w:type="dxa" w:w="9360"/>
        <w:tblBorders>
          <w:top w:val="single" w:color="DCDAD3" w:sz="2"/>
          <w:left w:val="single" w:color="DCDAD3" w:sz="2"/>
          <w:bottom w:val="single" w:color="DCDAD3" w:sz="2"/>
          <w:right w:val="single" w:color="DCDAD3" w:sz="2"/>
          <w:insideH w:val="single" w:color="DCDAD3" w:sz="2"/>
          <w:insideV w:val="single" w:color="DCDAD3" w:sz="2"/>
        </w:tblBorders>
      </w:tblPr>
      <w:tblGrid>
        <w:gridCol w:w="2400"/>
        <w:gridCol w:w="700"/>
        <w:gridCol w:w="1700"/>
        <w:gridCol w:w="1300"/>
        <w:gridCol w:w="1560"/>
        <w:gridCol w:w="1700"/>
      </w:tblGrid>
      <w:tr>
        <w:trPr>
          <w:tblHeader/>
        </w:trPr>
        <w:tc>
          <w:tcPr>
            <w:tcW w:type="dxa" w:w="24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Transaction</w:t>
            </w:r>
          </w:p>
        </w:tc>
        <w:tc>
          <w:tcPr>
            <w:tcW w:type="dxa" w:w="7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Year</w:t>
            </w:r>
          </w:p>
        </w:tc>
        <w:tc>
          <w:tcPr>
            <w:tcW w:type="dxa" w:w="17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Band</w:t>
            </w:r>
          </w:p>
        </w:tc>
        <w:tc>
          <w:tcPr>
            <w:tcW w:type="dxa" w:w="13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Total</w:t>
            </w:r>
          </w:p>
        </w:tc>
        <w:tc>
          <w:tcPr>
            <w:tcW w:type="dxa" w:w="156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Bandwidth</w:t>
            </w:r>
          </w:p>
        </w:tc>
        <w:tc>
          <w:tcPr>
            <w:tcW w:type="dxa" w:w="17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$/MHz-POP</w:t>
            </w:r>
          </w:p>
        </w:tc>
      </w:tr>
      <w:tr>
        <w:tc>
          <w:tcPr>
            <w:tcW w:type="dxa" w:w="2400"/>
            <w:tcMar>
              <w:top w:type="dxa" w:w="90"/>
              <w:left w:type="dxa" w:w="120"/>
              <w:bottom w:type="dxa" w:w="90"/>
              <w:right w:type="dxa" w:w="120"/>
            </w:tcMar>
          </w:tcPr>
          <w:p>
            <w:pPr>
              <w:spacing w:after="0" w:line="250"/>
            </w:pPr>
            <w:r>
              <w:rPr>
                <w:rFonts w:ascii="Arial" w:cs="Arial" w:eastAsia="Arial" w:hAnsi="Arial"/>
                <w:color w:val="12141A"/>
                <w:sz w:val="19"/>
                <w:szCs w:val="19"/>
              </w:rPr>
              <w:t xml:space="preserve">Auction 107 — C-band</w:t>
            </w:r>
          </w:p>
        </w:tc>
        <w:tc>
          <w:tcPr>
            <w:tcW w:type="dxa" w:w="700"/>
            <w:tcMar>
              <w:top w:type="dxa" w:w="90"/>
              <w:left w:type="dxa" w:w="120"/>
              <w:bottom w:type="dxa" w:w="90"/>
              <w:right w:type="dxa" w:w="120"/>
            </w:tcMar>
          </w:tcPr>
          <w:p>
            <w:pPr>
              <w:spacing w:after="0" w:line="250"/>
            </w:pPr>
            <w:r>
              <w:rPr>
                <w:rFonts w:ascii="Arial" w:cs="Arial" w:eastAsia="Arial" w:hAnsi="Arial"/>
                <w:color w:val="12141A"/>
                <w:sz w:val="19"/>
                <w:szCs w:val="19"/>
              </w:rPr>
              <w:t xml:space="preserve">2021</w:t>
            </w:r>
          </w:p>
        </w:tc>
        <w:tc>
          <w:tcPr>
            <w:tcW w:type="dxa" w:w="1700"/>
            <w:tcMar>
              <w:top w:type="dxa" w:w="90"/>
              <w:left w:type="dxa" w:w="120"/>
              <w:bottom w:type="dxa" w:w="90"/>
              <w:right w:type="dxa" w:w="120"/>
            </w:tcMar>
          </w:tcPr>
          <w:p>
            <w:pPr>
              <w:spacing w:after="0" w:line="250"/>
            </w:pPr>
            <w:r>
              <w:rPr>
                <w:rFonts w:ascii="Arial" w:cs="Arial" w:eastAsia="Arial" w:hAnsi="Arial"/>
                <w:color w:val="12141A"/>
                <w:sz w:val="19"/>
                <w:szCs w:val="19"/>
              </w:rPr>
              <w:t xml:space="preserve">3.7–3.98 GHz</w:t>
            </w:r>
          </w:p>
        </w:tc>
        <w:tc>
          <w:tcPr>
            <w:tcW w:type="dxa" w:w="1300"/>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$81.17B</w:t>
            </w:r>
          </w:p>
        </w:tc>
        <w:tc>
          <w:tcPr>
            <w:tcW w:type="dxa" w:w="1560"/>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280 MHz</w:t>
            </w:r>
          </w:p>
        </w:tc>
        <w:tc>
          <w:tcPr>
            <w:tcW w:type="dxa" w:w="1700"/>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$0.852</w:t>
            </w:r>
          </w:p>
        </w:tc>
      </w:tr>
      <w:tr>
        <w:tc>
          <w:tcPr>
            <w:tcW w:type="dxa" w:w="24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Auction 110 — 3.45 GHz</w:t>
            </w:r>
          </w:p>
        </w:tc>
        <w:tc>
          <w:tcPr>
            <w:tcW w:type="dxa" w:w="7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2022</w:t>
            </w:r>
          </w:p>
        </w:tc>
        <w:tc>
          <w:tcPr>
            <w:tcW w:type="dxa" w:w="17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3.45–3.55 GHz</w:t>
            </w:r>
          </w:p>
        </w:tc>
        <w:tc>
          <w:tcPr>
            <w:tcW w:type="dxa" w:w="1300"/>
            <w:shd w:fill="F6F5F2" w:color="auto" w:val="clear"/>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$22.51B</w:t>
            </w:r>
          </w:p>
        </w:tc>
        <w:tc>
          <w:tcPr>
            <w:tcW w:type="dxa" w:w="1560"/>
            <w:shd w:fill="F6F5F2" w:color="auto" w:val="clear"/>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100 MHz</w:t>
            </w:r>
          </w:p>
        </w:tc>
        <w:tc>
          <w:tcPr>
            <w:tcW w:type="dxa" w:w="1700"/>
            <w:shd w:fill="F6F5F2" w:color="auto" w:val="clear"/>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$0.662</w:t>
            </w:r>
          </w:p>
        </w:tc>
      </w:tr>
      <w:tr>
        <w:tc>
          <w:tcPr>
            <w:tcW w:type="dxa" w:w="2400"/>
            <w:tcMar>
              <w:top w:type="dxa" w:w="90"/>
              <w:left w:type="dxa" w:w="120"/>
              <w:bottom w:type="dxa" w:w="90"/>
              <w:right w:type="dxa" w:w="120"/>
            </w:tcMar>
          </w:tcPr>
          <w:p>
            <w:pPr>
              <w:spacing w:after="0" w:line="250"/>
            </w:pPr>
            <w:r>
              <w:rPr>
                <w:rFonts w:ascii="Arial" w:cs="Arial" w:eastAsia="Arial" w:hAnsi="Arial"/>
                <w:color w:val="12141A"/>
                <w:sz w:val="19"/>
                <w:szCs w:val="19"/>
              </w:rPr>
              <w:t xml:space="preserve">Auction 105 — CBRS PAL, weighted</w:t>
            </w:r>
          </w:p>
        </w:tc>
        <w:tc>
          <w:tcPr>
            <w:tcW w:type="dxa" w:w="700"/>
            <w:tcMar>
              <w:top w:type="dxa" w:w="90"/>
              <w:left w:type="dxa" w:w="120"/>
              <w:bottom w:type="dxa" w:w="90"/>
              <w:right w:type="dxa" w:w="120"/>
            </w:tcMar>
          </w:tcPr>
          <w:p>
            <w:pPr>
              <w:spacing w:after="0" w:line="250"/>
            </w:pPr>
            <w:r>
              <w:rPr>
                <w:rFonts w:ascii="Arial" w:cs="Arial" w:eastAsia="Arial" w:hAnsi="Arial"/>
                <w:color w:val="12141A"/>
                <w:sz w:val="19"/>
                <w:szCs w:val="19"/>
              </w:rPr>
              <w:t xml:space="preserve">2020</w:t>
            </w:r>
          </w:p>
        </w:tc>
        <w:tc>
          <w:tcPr>
            <w:tcW w:type="dxa" w:w="1700"/>
            <w:tcMar>
              <w:top w:type="dxa" w:w="90"/>
              <w:left w:type="dxa" w:w="120"/>
              <w:bottom w:type="dxa" w:w="90"/>
              <w:right w:type="dxa" w:w="120"/>
            </w:tcMar>
          </w:tcPr>
          <w:p>
            <w:pPr>
              <w:spacing w:after="0" w:line="250"/>
            </w:pPr>
            <w:r>
              <w:rPr>
                <w:rFonts w:ascii="Arial" w:cs="Arial" w:eastAsia="Arial" w:hAnsi="Arial"/>
                <w:color w:val="12141A"/>
                <w:sz w:val="19"/>
                <w:szCs w:val="19"/>
              </w:rPr>
              <w:t xml:space="preserve">3.55–3.65 GHz</w:t>
            </w:r>
          </w:p>
        </w:tc>
        <w:tc>
          <w:tcPr>
            <w:tcW w:type="dxa" w:w="1300"/>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$4.50B</w:t>
            </w:r>
          </w:p>
        </w:tc>
        <w:tc>
          <w:tcPr>
            <w:tcW w:type="dxa" w:w="1560"/>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10 MHz/licence</w:t>
            </w:r>
          </w:p>
        </w:tc>
        <w:tc>
          <w:tcPr>
            <w:tcW w:type="dxa" w:w="1700"/>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$0.198</w:t>
            </w:r>
          </w:p>
        </w:tc>
      </w:tr>
      <w:tr>
        <w:tc>
          <w:tcPr>
            <w:tcW w:type="dxa" w:w="24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Auction 105 — median county</w:t>
            </w:r>
          </w:p>
        </w:tc>
        <w:tc>
          <w:tcPr>
            <w:tcW w:type="dxa" w:w="7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2020</w:t>
            </w:r>
          </w:p>
        </w:tc>
        <w:tc>
          <w:tcPr>
            <w:tcW w:type="dxa" w:w="17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3.55–3.65 GHz</w:t>
            </w:r>
          </w:p>
        </w:tc>
        <w:tc>
          <w:tcPr>
            <w:tcW w:type="dxa" w:w="1300"/>
            <w:shd w:fill="F6F5F2" w:color="auto" w:val="clear"/>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w:t>
            </w:r>
          </w:p>
        </w:tc>
        <w:tc>
          <w:tcPr>
            <w:tcW w:type="dxa" w:w="1560"/>
            <w:shd w:fill="F6F5F2" w:color="auto" w:val="clear"/>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10 MHz/licence</w:t>
            </w:r>
          </w:p>
        </w:tc>
        <w:tc>
          <w:tcPr>
            <w:tcW w:type="dxa" w:w="1700"/>
            <w:shd w:fill="F6F5F2" w:color="auto" w:val="clear"/>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$0.032</w:t>
            </w:r>
          </w:p>
        </w:tc>
      </w:tr>
      <w:tr>
        <w:tc>
          <w:tcPr>
            <w:tcW w:type="dxa" w:w="2400"/>
            <w:tcMar>
              <w:top w:type="dxa" w:w="90"/>
              <w:left w:type="dxa" w:w="120"/>
              <w:bottom w:type="dxa" w:w="90"/>
              <w:right w:type="dxa" w:w="120"/>
            </w:tcMar>
          </w:tcPr>
          <w:p>
            <w:pPr>
              <w:spacing w:after="0" w:line="250"/>
            </w:pPr>
            <w:r>
              <w:rPr>
                <w:rFonts w:ascii="Arial" w:cs="Arial" w:eastAsia="Arial" w:hAnsi="Arial"/>
                <w:color w:val="12141A"/>
                <w:sz w:val="19"/>
                <w:szCs w:val="19"/>
              </w:rPr>
              <w:t xml:space="preserve">EchoStar → SpaceX, combined</w:t>
            </w:r>
          </w:p>
        </w:tc>
        <w:tc>
          <w:tcPr>
            <w:tcW w:type="dxa" w:w="700"/>
            <w:tcMar>
              <w:top w:type="dxa" w:w="90"/>
              <w:left w:type="dxa" w:w="120"/>
              <w:bottom w:type="dxa" w:w="90"/>
              <w:right w:type="dxa" w:w="120"/>
            </w:tcMar>
          </w:tcPr>
          <w:p>
            <w:pPr>
              <w:spacing w:after="0" w:line="250"/>
            </w:pPr>
            <w:r>
              <w:rPr>
                <w:rFonts w:ascii="Arial" w:cs="Arial" w:eastAsia="Arial" w:hAnsi="Arial"/>
                <w:color w:val="12141A"/>
                <w:sz w:val="19"/>
                <w:szCs w:val="19"/>
              </w:rPr>
              <w:t xml:space="preserve">2025</w:t>
            </w:r>
          </w:p>
        </w:tc>
        <w:tc>
          <w:tcPr>
            <w:tcW w:type="dxa" w:w="1700"/>
            <w:tcMar>
              <w:top w:type="dxa" w:w="90"/>
              <w:left w:type="dxa" w:w="120"/>
              <w:bottom w:type="dxa" w:w="90"/>
              <w:right w:type="dxa" w:w="120"/>
            </w:tcMar>
          </w:tcPr>
          <w:p>
            <w:pPr>
              <w:spacing w:after="0" w:line="250"/>
            </w:pPr>
            <w:r>
              <w:rPr>
                <w:rFonts w:ascii="Arial" w:cs="Arial" w:eastAsia="Arial" w:hAnsi="Arial"/>
                <w:color w:val="12141A"/>
                <w:sz w:val="19"/>
                <w:szCs w:val="19"/>
              </w:rPr>
              <w:t xml:space="preserve">AWS-4, H, AWS-3</w:t>
            </w:r>
          </w:p>
        </w:tc>
        <w:tc>
          <w:tcPr>
            <w:tcW w:type="dxa" w:w="1300"/>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$19.62B</w:t>
            </w:r>
          </w:p>
        </w:tc>
        <w:tc>
          <w:tcPr>
            <w:tcW w:type="dxa" w:w="1560"/>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65 MHz</w:t>
            </w:r>
          </w:p>
        </w:tc>
        <w:tc>
          <w:tcPr>
            <w:tcW w:type="dxa" w:w="1700"/>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$0.887</w:t>
            </w:r>
          </w:p>
        </w:tc>
      </w:tr>
      <w:tr>
        <w:tc>
          <w:tcPr>
            <w:tcW w:type="dxa" w:w="24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EchoStar → AT&amp;T</w:t>
            </w:r>
          </w:p>
        </w:tc>
        <w:tc>
          <w:tcPr>
            <w:tcW w:type="dxa" w:w="7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2026</w:t>
            </w:r>
          </w:p>
        </w:tc>
        <w:tc>
          <w:tcPr>
            <w:tcW w:type="dxa" w:w="17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600 MHz + 3.45 GHz</w:t>
            </w:r>
          </w:p>
        </w:tc>
        <w:tc>
          <w:tcPr>
            <w:tcW w:type="dxa" w:w="1300"/>
            <w:shd w:fill="F6F5F2" w:color="auto" w:val="clear"/>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$20.25B</w:t>
            </w:r>
          </w:p>
        </w:tc>
        <w:tc>
          <w:tcPr>
            <w:tcW w:type="dxa" w:w="1560"/>
            <w:shd w:fill="F6F5F2" w:color="auto" w:val="clear"/>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~50 MHz</w:t>
            </w:r>
          </w:p>
        </w:tc>
        <w:tc>
          <w:tcPr>
            <w:tcW w:type="dxa" w:w="1700"/>
            <w:shd w:fill="F6F5F2" w:color="auto" w:val="clear"/>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$1.191</w:t>
            </w:r>
          </w:p>
        </w:tc>
      </w:tr>
    </w:tbl>
    <w:p>
      <w:pPr>
        <w:spacing w:after="200" w:line="280"/>
      </w:pPr>
      <w:r>
        <w:rPr>
          <w:rFonts w:ascii="Arial" w:cs="Arial" w:eastAsia="Arial" w:hAnsi="Arial"/>
          <w:color w:val="5F6472"/>
          <w:sz w:val="17"/>
          <w:szCs w:val="17"/>
        </w:rPr>
        <w:t xml:space="preserve">Auction totals are gross winning bids. Figures are computed from FCC auction results files and US Census 2024 county estimates; the EchoStar rows are from Forms 8-K. Two rows are deliberately absent: Auction 113 (2026) cleared at $2.658/MHz-POP but sold leftover licences concentrated in dense markets, and Auction 108 at $0.016 sold overlay licences covering only unassigned whitespace. Neither is a comparable for a normal position.</w:t>
      </w:r>
    </w:p>
    <w:p>
      <w:pPr>
        <w:spacing w:after="140" w:line="280"/>
      </w:pPr>
      <w:r>
        <w:rPr>
          <w:rFonts w:ascii="Arial" w:cs="Arial" w:eastAsia="Arial" w:hAnsi="Arial"/>
          <w:b/>
          <w:bCs/>
          <w:color w:val="9C2B2B"/>
          <w:sz w:val="21"/>
          <w:szCs w:val="21"/>
        </w:rPr>
        <w:t xml:space="preserve">On low band. </w:t>
      </w:r>
      <w:r>
        <w:rPr>
          <w:rFonts w:ascii="Arial" w:cs="Arial" w:eastAsia="Arial" w:hAnsi="Arial"/>
          <w:color w:val="12141A"/>
          <w:sz w:val="21"/>
          <w:szCs w:val="21"/>
        </w:rPr>
        <w:t xml:space="preserve">There is no clean US low-band benchmark in the public record. The 700 MHz and AWS-3 auction result files return 404 on the FCC’s current path, so no verified per-licence figure can be published. Low band appears only inside the blended EchoStar–AT&amp;T transaction, which also contains 3.45 GHz. Historically low band trades at a premium to mid band, so treat the mid-band range as a floor and say in the paper that you have done so.</w:t>
      </w:r>
    </w:p>
    <w:p>
      <w:pPr>
        <w:pStyle w:val="Heading1"/>
        <w:spacing w:after="140" w:before="360"/>
      </w:pPr>
      <w:r>
        <w:rPr>
          <w:rFonts w:ascii="Arial" w:cs="Arial" w:eastAsia="Arial" w:hAnsi="Arial"/>
          <w:b/>
          <w:bCs/>
          <w:color w:val="12141A"/>
          <w:sz w:val="30"/>
          <w:szCs w:val="30"/>
        </w:rPr>
        <w:t xml:space="preserve">2 · How much depth the service actually needs</w:t>
      </w:r>
    </w:p>
    <w:p>
      <w:pPr>
        <w:spacing w:after="140" w:line="280"/>
      </w:pPr>
      <w:r>
        <w:rPr>
          <w:rFonts w:ascii="Arial" w:cs="Arial" w:eastAsia="Arial" w:hAnsi="Arial"/>
          <w:color w:val="12141A"/>
          <w:sz w:val="21"/>
          <w:szCs w:val="21"/>
        </w:rPr>
        <w:t xml:space="preserve">Bidding for more depth than your service can use is the most expensive mistake available in an auction, and the easiest one to make, because depth feels like safety.</w:t>
      </w:r>
    </w:p>
    <w:p>
      <w:pPr>
        <w:pStyle w:val="ListParagraph"/>
        <w:numPr>
          <w:ilvl w:val="0"/>
          <w:numId w:val="2"/>
        </w:numPr>
        <w:spacing w:after="110" w:line="280"/>
      </w:pPr>
      <w:r>
        <w:rPr>
          <w:rFonts w:ascii="Arial" w:cs="Arial" w:eastAsia="Arial" w:hAnsi="Arial"/>
          <w:color w:val="12141A"/>
          <w:sz w:val="21"/>
          <w:szCs w:val="21"/>
        </w:rPr>
        <w:t xml:space="preserve">What are you selling over this spectrum, and what does it need per sector at busy hour?</w:t>
      </w:r>
    </w:p>
    <w:p>
      <w:pPr>
        <w:pStyle w:val="ListParagraph"/>
        <w:numPr>
          <w:ilvl w:val="0"/>
          <w:numId w:val="2"/>
        </w:numPr>
        <w:spacing w:after="110" w:line="280"/>
      </w:pPr>
      <w:r>
        <w:rPr>
          <w:rFonts w:ascii="Arial" w:cs="Arial" w:eastAsia="Arial" w:hAnsi="Arial"/>
          <w:color w:val="12141A"/>
          <w:sz w:val="21"/>
          <w:szCs w:val="21"/>
        </w:rPr>
        <w:t xml:space="preserve">At what point does the next 10 MHz stop adding usable capacity for that service?</w:t>
      </w:r>
    </w:p>
    <w:p>
      <w:pPr>
        <w:pStyle w:val="ListParagraph"/>
        <w:numPr>
          <w:ilvl w:val="0"/>
          <w:numId w:val="2"/>
        </w:numPr>
        <w:spacing w:after="110" w:line="280"/>
      </w:pPr>
      <w:r>
        <w:rPr>
          <w:rFonts w:ascii="Arial" w:cs="Arial" w:eastAsia="Arial" w:hAnsi="Arial"/>
          <w:color w:val="12141A"/>
          <w:sz w:val="21"/>
          <w:szCs w:val="21"/>
        </w:rPr>
        <w:t xml:space="preserve">What does your existing portfolio already give you in these markets?</w:t>
      </w:r>
    </w:p>
    <w:p>
      <w:pPr>
        <w:pStyle w:val="ListParagraph"/>
        <w:numPr>
          <w:ilvl w:val="0"/>
          <w:numId w:val="2"/>
        </w:numPr>
        <w:spacing w:after="110" w:line="280"/>
      </w:pPr>
      <w:r>
        <w:rPr>
          <w:rFonts w:ascii="Arial" w:cs="Arial" w:eastAsia="Arial" w:hAnsi="Arial"/>
          <w:color w:val="12141A"/>
          <w:sz w:val="21"/>
          <w:szCs w:val="21"/>
        </w:rPr>
        <w:t xml:space="preserve">Is the constraint actually spectrum, or is it sites, backhaul or equipment timing?</w:t>
      </w:r>
    </w:p>
    <w:p>
      <w:pPr>
        <w:pStyle w:val="ListParagraph"/>
        <w:numPr>
          <w:ilvl w:val="0"/>
          <w:numId w:val="2"/>
        </w:numPr>
        <w:spacing w:after="110" w:line="280"/>
      </w:pPr>
      <w:r>
        <w:rPr>
          <w:rFonts w:ascii="Arial" w:cs="Arial" w:eastAsia="Arial" w:hAnsi="Arial"/>
          <w:color w:val="12141A"/>
          <w:sz w:val="21"/>
          <w:szCs w:val="21"/>
        </w:rPr>
        <w:t xml:space="preserve">If you won nothing, what would you do instead, and what would that cost?</w:t>
      </w:r>
    </w:p>
    <w:p>
      <w:pPr>
        <w:pStyle w:val="Heading1"/>
        <w:spacing w:after="140" w:before="360"/>
      </w:pPr>
      <w:r>
        <w:rPr>
          <w:rFonts w:ascii="Arial" w:cs="Arial" w:eastAsia="Arial" w:hAnsi="Arial"/>
          <w:b/>
          <w:bCs/>
          <w:color w:val="12141A"/>
          <w:sz w:val="30"/>
          <w:szCs w:val="30"/>
        </w:rPr>
        <w:t xml:space="preserve">3 · What the band does not buy you</w:t>
      </w:r>
    </w:p>
    <w:p>
      <w:pPr>
        <w:spacing w:after="140" w:line="280"/>
      </w:pPr>
      <w:r>
        <w:rPr>
          <w:rFonts w:ascii="Arial" w:cs="Arial" w:eastAsia="Arial" w:hAnsi="Arial"/>
          <w:color w:val="12141A"/>
          <w:sz w:val="21"/>
          <w:szCs w:val="21"/>
        </w:rPr>
        <w:t xml:space="preserve">Every band has a set of things it will not do, and those are usually discovered after the money is committed.</w:t>
      </w:r>
    </w:p>
    <w:p>
      <w:pPr>
        <w:pStyle w:val="ListParagraph"/>
        <w:numPr>
          <w:ilvl w:val="0"/>
          <w:numId w:val="2"/>
        </w:numPr>
        <w:spacing w:after="110" w:line="280"/>
      </w:pPr>
      <w:r>
        <w:rPr>
          <w:rFonts w:ascii="Arial" w:cs="Arial" w:eastAsia="Arial" w:hAnsi="Arial"/>
          <w:color w:val="12141A"/>
          <w:sz w:val="21"/>
          <w:szCs w:val="21"/>
        </w:rPr>
        <w:t xml:space="preserve">Indoor penetration: what does the propagation actually give you in your footprint?</w:t>
      </w:r>
    </w:p>
    <w:p>
      <w:pPr>
        <w:pStyle w:val="ListParagraph"/>
        <w:numPr>
          <w:ilvl w:val="0"/>
          <w:numId w:val="2"/>
        </w:numPr>
        <w:spacing w:after="110" w:line="280"/>
      </w:pPr>
      <w:r>
        <w:rPr>
          <w:rFonts w:ascii="Arial" w:cs="Arial" w:eastAsia="Arial" w:hAnsi="Arial"/>
          <w:color w:val="12141A"/>
          <w:sz w:val="21"/>
          <w:szCs w:val="21"/>
        </w:rPr>
        <w:t xml:space="preserve">Device ecosystem: which handsets support this band today, and on whose roadmap is the rest?</w:t>
      </w:r>
    </w:p>
    <w:p>
      <w:pPr>
        <w:pStyle w:val="ListParagraph"/>
        <w:numPr>
          <w:ilvl w:val="0"/>
          <w:numId w:val="2"/>
        </w:numPr>
        <w:spacing w:after="110" w:line="280"/>
      </w:pPr>
      <w:r>
        <w:rPr>
          <w:rFonts w:ascii="Arial" w:cs="Arial" w:eastAsia="Arial" w:hAnsi="Arial"/>
          <w:color w:val="12141A"/>
          <w:sz w:val="21"/>
          <w:szCs w:val="21"/>
        </w:rPr>
        <w:t xml:space="preserve">Equipment timing: when can you actually deploy, and does that fit the build-out obligation?</w:t>
      </w:r>
    </w:p>
    <w:p>
      <w:pPr>
        <w:pStyle w:val="ListParagraph"/>
        <w:numPr>
          <w:ilvl w:val="0"/>
          <w:numId w:val="2"/>
        </w:numPr>
        <w:spacing w:after="110" w:line="280"/>
      </w:pPr>
      <w:r>
        <w:rPr>
          <w:rFonts w:ascii="Arial" w:cs="Arial" w:eastAsia="Arial" w:hAnsi="Arial"/>
          <w:color w:val="12141A"/>
          <w:sz w:val="21"/>
          <w:szCs w:val="21"/>
        </w:rPr>
        <w:t xml:space="preserve">Coordination constraints: federal zones, incumbent protection, power limits.</w:t>
      </w:r>
    </w:p>
    <w:p>
      <w:pPr>
        <w:pStyle w:val="ListParagraph"/>
        <w:numPr>
          <w:ilvl w:val="0"/>
          <w:numId w:val="2"/>
        </w:numPr>
        <w:spacing w:after="110" w:line="280"/>
      </w:pPr>
      <w:r>
        <w:rPr>
          <w:rFonts w:ascii="Arial" w:cs="Arial" w:eastAsia="Arial" w:hAnsi="Arial"/>
          <w:color w:val="12141A"/>
          <w:sz w:val="21"/>
          <w:szCs w:val="21"/>
        </w:rPr>
        <w:t xml:space="preserve">Build-out obligations: what has to be true by when, and what happens if it is not?</w:t>
      </w:r>
    </w:p>
    <w:p>
      <w:pPr>
        <w:pStyle w:val="Heading1"/>
        <w:spacing w:after="140" w:before="360"/>
      </w:pPr>
      <w:r>
        <w:rPr>
          <w:rFonts w:ascii="Arial" w:cs="Arial" w:eastAsia="Arial" w:hAnsi="Arial"/>
          <w:b/>
          <w:bCs/>
          <w:color w:val="12141A"/>
          <w:sz w:val="30"/>
          <w:szCs w:val="30"/>
        </w:rPr>
        <w:t xml:space="preserve">4 · Who else is likely in the room</w:t>
      </w:r>
    </w:p>
    <w:p>
      <w:pPr>
        <w:pStyle w:val="ListParagraph"/>
        <w:numPr>
          <w:ilvl w:val="0"/>
          <w:numId w:val="2"/>
        </w:numPr>
        <w:spacing w:after="110" w:line="280"/>
      </w:pPr>
      <w:r>
        <w:rPr>
          <w:rFonts w:ascii="Arial" w:cs="Arial" w:eastAsia="Arial" w:hAnsi="Arial"/>
          <w:color w:val="12141A"/>
          <w:sz w:val="21"/>
          <w:szCs w:val="21"/>
        </w:rPr>
        <w:t xml:space="preserve">Who else needs this band, and what does their existing position look like?</w:t>
      </w:r>
    </w:p>
    <w:p>
      <w:pPr>
        <w:pStyle w:val="ListParagraph"/>
        <w:numPr>
          <w:ilvl w:val="0"/>
          <w:numId w:val="2"/>
        </w:numPr>
        <w:spacing w:after="110" w:line="280"/>
      </w:pPr>
      <w:r>
        <w:rPr>
          <w:rFonts w:ascii="Arial" w:cs="Arial" w:eastAsia="Arial" w:hAnsi="Arial"/>
          <w:color w:val="12141A"/>
          <w:sz w:val="21"/>
          <w:szCs w:val="21"/>
        </w:rPr>
        <w:t xml:space="preserve">What has each of them paid before, in this band and in others?</w:t>
      </w:r>
    </w:p>
    <w:p>
      <w:pPr>
        <w:pStyle w:val="ListParagraph"/>
        <w:numPr>
          <w:ilvl w:val="0"/>
          <w:numId w:val="2"/>
        </w:numPr>
        <w:spacing w:after="110" w:line="280"/>
      </w:pPr>
      <w:r>
        <w:rPr>
          <w:rFonts w:ascii="Arial" w:cs="Arial" w:eastAsia="Arial" w:hAnsi="Arial"/>
          <w:color w:val="12141A"/>
          <w:sz w:val="21"/>
          <w:szCs w:val="21"/>
        </w:rPr>
        <w:t xml:space="preserve">What does each one’s balance sheet allow? Operating cash flow less capex and dividends is the number, not revenue.</w:t>
      </w:r>
    </w:p>
    <w:p>
      <w:pPr>
        <w:pStyle w:val="ListParagraph"/>
        <w:numPr>
          <w:ilvl w:val="0"/>
          <w:numId w:val="2"/>
        </w:numPr>
        <w:spacing w:after="110" w:line="280"/>
      </w:pPr>
      <w:r>
        <w:rPr>
          <w:rFonts w:ascii="Arial" w:cs="Arial" w:eastAsia="Arial" w:hAnsi="Arial"/>
          <w:color w:val="12141A"/>
          <w:sz w:val="21"/>
          <w:szCs w:val="21"/>
        </w:rPr>
        <w:t xml:space="preserve">Is anyone here for a reason other than the spectrum — a merger position, a regulatory commitment, a blocking move?</w:t>
      </w:r>
    </w:p>
    <w:p>
      <w:pPr>
        <w:pStyle w:val="ListParagraph"/>
        <w:numPr>
          <w:ilvl w:val="0"/>
          <w:numId w:val="2"/>
        </w:numPr>
        <w:spacing w:after="110" w:line="280"/>
      </w:pPr>
      <w:r>
        <w:rPr>
          <w:rFonts w:ascii="Arial" w:cs="Arial" w:eastAsia="Arial" w:hAnsi="Arial"/>
          <w:color w:val="12141A"/>
          <w:sz w:val="21"/>
          <w:szCs w:val="21"/>
        </w:rPr>
        <w:t xml:space="preserve">Which markets are contested and which are not? Auction outcomes are decided market by market, not nationally.</w:t>
      </w:r>
    </w:p>
    <w:p>
      <w:pPr>
        <w:pStyle w:val="Heading1"/>
        <w:spacing w:after="140" w:before="360"/>
      </w:pPr>
      <w:r>
        <w:rPr>
          <w:rFonts w:ascii="Arial" w:cs="Arial" w:eastAsia="Arial" w:hAnsi="Arial"/>
          <w:b/>
          <w:bCs/>
          <w:color w:val="12141A"/>
          <w:sz w:val="30"/>
          <w:szCs w:val="30"/>
        </w:rPr>
        <w:t xml:space="preserve">5 · The walk-away price</w:t>
      </w:r>
    </w:p>
    <w:p>
      <w:pPr>
        <w:spacing w:after="140" w:line="280"/>
      </w:pPr>
      <w:r>
        <w:rPr>
          <w:rFonts w:ascii="Arial" w:cs="Arial" w:eastAsia="Arial" w:hAnsi="Arial"/>
          <w:color w:val="12141A"/>
          <w:sz w:val="21"/>
          <w:szCs w:val="21"/>
        </w:rPr>
        <w:t xml:space="preserve">Write this down before the auction opens. A walk-away discovered during bidding is not a walk-away; it is a rationalisation.</w:t>
      </w:r>
    </w:p>
    <w:p>
      <w:pPr>
        <w:pStyle w:val="ListParagraph"/>
        <w:numPr>
          <w:ilvl w:val="0"/>
          <w:numId w:val="2"/>
        </w:numPr>
        <w:spacing w:after="110" w:line="280"/>
      </w:pPr>
      <w:r>
        <w:rPr>
          <w:rFonts w:ascii="Arial" w:cs="Arial" w:eastAsia="Arial" w:hAnsi="Arial"/>
          <w:color w:val="12141A"/>
          <w:sz w:val="21"/>
          <w:szCs w:val="21"/>
        </w:rPr>
        <w:t xml:space="preserve">What is the number, per MHz-POP and in total?</w:t>
      </w:r>
    </w:p>
    <w:p>
      <w:pPr>
        <w:pStyle w:val="ListParagraph"/>
        <w:numPr>
          <w:ilvl w:val="0"/>
          <w:numId w:val="2"/>
        </w:numPr>
        <w:spacing w:after="110" w:line="280"/>
      </w:pPr>
      <w:r>
        <w:rPr>
          <w:rFonts w:ascii="Arial" w:cs="Arial" w:eastAsia="Arial" w:hAnsi="Arial"/>
          <w:color w:val="12141A"/>
          <w:sz w:val="21"/>
          <w:szCs w:val="21"/>
        </w:rPr>
        <w:t xml:space="preserve">What has to be true for it to be right? List the assumptions explicitly.</w:t>
      </w:r>
    </w:p>
    <w:p>
      <w:pPr>
        <w:pStyle w:val="ListParagraph"/>
        <w:numPr>
          <w:ilvl w:val="0"/>
          <w:numId w:val="2"/>
        </w:numPr>
        <w:spacing w:after="110" w:line="280"/>
      </w:pPr>
      <w:r>
        <w:rPr>
          <w:rFonts w:ascii="Arial" w:cs="Arial" w:eastAsia="Arial" w:hAnsi="Arial"/>
          <w:color w:val="12141A"/>
          <w:sz w:val="21"/>
          <w:szCs w:val="21"/>
        </w:rPr>
        <w:t xml:space="preserve">Which of those assumptions would move the number most if it were wrong?</w:t>
      </w:r>
    </w:p>
    <w:p>
      <w:pPr>
        <w:pStyle w:val="ListParagraph"/>
        <w:numPr>
          <w:ilvl w:val="0"/>
          <w:numId w:val="2"/>
        </w:numPr>
        <w:spacing w:after="110" w:line="280"/>
      </w:pPr>
      <w:r>
        <w:rPr>
          <w:rFonts w:ascii="Arial" w:cs="Arial" w:eastAsia="Arial" w:hAnsi="Arial"/>
          <w:color w:val="12141A"/>
          <w:sz w:val="21"/>
          <w:szCs w:val="21"/>
        </w:rPr>
        <w:t xml:space="preserve">Who is authorised to change it during the auction, and on what evidence?</w:t>
      </w:r>
    </w:p>
    <w:p>
      <w:pPr>
        <w:pStyle w:val="ListParagraph"/>
        <w:numPr>
          <w:ilvl w:val="0"/>
          <w:numId w:val="2"/>
        </w:numPr>
        <w:spacing w:after="110" w:line="280"/>
      </w:pPr>
      <w:r>
        <w:rPr>
          <w:rFonts w:ascii="Arial" w:cs="Arial" w:eastAsia="Arial" w:hAnsi="Arial"/>
          <w:color w:val="12141A"/>
          <w:sz w:val="21"/>
          <w:szCs w:val="21"/>
        </w:rPr>
        <w:t xml:space="preserve">What is the plan if you walk away? If there is no answer, the walk-away is not real.</w:t>
      </w:r>
    </w:p>
    <w:p>
      <w:r>
        <w:br w:type="page"/>
      </w:r>
    </w:p>
    <w:p>
      <w:pPr>
        <w:pStyle w:val="Heading1"/>
        <w:spacing w:after="140" w:before="360"/>
      </w:pPr>
      <w:r>
        <w:rPr>
          <w:rFonts w:ascii="Arial" w:cs="Arial" w:eastAsia="Arial" w:hAnsi="Arial"/>
          <w:b/>
          <w:bCs/>
          <w:color w:val="12141A"/>
          <w:sz w:val="30"/>
          <w:szCs w:val="30"/>
        </w:rPr>
        <w:t xml:space="preserve">Worked example</w:t>
      </w:r>
    </w:p>
    <w:p>
      <w:pPr>
        <w:spacing w:after="140" w:line="280"/>
      </w:pPr>
      <w:r>
        <w:rPr>
          <w:rFonts w:ascii="Arial" w:cs="Arial" w:eastAsia="Arial" w:hAnsi="Arial"/>
          <w:i/>
          <w:iCs/>
          <w:color w:val="5F6472"/>
          <w:sz w:val="21"/>
          <w:szCs w:val="21"/>
        </w:rPr>
        <w:t xml:space="preserve">A regional operator considering 20 MHz of mid-band 3.4–4.0 GHz across a footprint of 4.7 million people. Public data only; the position is illustrative, the comparables are real.</w:t>
      </w:r>
    </w:p>
    <w:p>
      <w:pPr>
        <w:pStyle w:val="Heading2"/>
        <w:spacing w:after="140" w:before="300"/>
      </w:pPr>
      <w:r>
        <w:rPr>
          <w:rFonts w:ascii="Arial" w:cs="Arial" w:eastAsia="Arial" w:hAnsi="Arial"/>
          <w:b/>
          <w:bCs/>
          <w:color w:val="005DD6"/>
          <w:sz w:val="24"/>
          <w:szCs w:val="24"/>
        </w:rPr>
        <w:t xml:space="preserve">Section 1 — the comparables</w:t>
      </w:r>
    </w:p>
    <w:p>
      <w:pPr>
        <w:spacing w:after="140" w:line="280"/>
      </w:pPr>
      <w:r>
        <w:rPr>
          <w:rFonts w:ascii="Arial" w:cs="Arial" w:eastAsia="Arial" w:hAnsi="Arial"/>
          <w:color w:val="12141A"/>
          <w:sz w:val="21"/>
          <w:szCs w:val="21"/>
        </w:rPr>
        <w:t xml:space="preserve">Two settled transactions sit in the 3.4–4.0 GHz band group: Auction 107 at $0.852/MHz-POP and Auction 110 at $0.662. That is the whole comparable set — two observations, which is worth saying out loud rather than presenting as a range of many.</w:t>
      </w:r>
    </w:p>
    <w:tbl>
      <w:tblPr>
        <w:tblW w:type="dxa" w:w="9360"/>
        <w:tblBorders>
          <w:top w:val="single" w:color="DCDAD3" w:sz="2"/>
          <w:left w:val="single" w:color="DCDAD3" w:sz="2"/>
          <w:bottom w:val="single" w:color="DCDAD3" w:sz="2"/>
          <w:right w:val="single" w:color="DCDAD3" w:sz="2"/>
          <w:insideH w:val="single" w:color="DCDAD3" w:sz="2"/>
          <w:insideV w:val="single" w:color="DCDAD3" w:sz="2"/>
        </w:tblBorders>
      </w:tblPr>
      <w:tblGrid>
        <w:gridCol w:w="2600"/>
        <w:gridCol w:w="4200"/>
        <w:gridCol w:w="2560"/>
      </w:tblGrid>
      <w:tr>
        <w:trPr>
          <w:tblHeader/>
        </w:trPr>
        <w:tc>
          <w:tcPr>
            <w:tcW w:type="dxa" w:w="26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
            </w:r>
          </w:p>
        </w:tc>
        <w:tc>
          <w:tcPr>
            <w:tcW w:type="dxa" w:w="42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Calculation</w:t>
            </w:r>
          </w:p>
        </w:tc>
        <w:tc>
          <w:tcPr>
            <w:tcW w:type="dxa" w:w="256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Result</w:t>
            </w:r>
          </w:p>
        </w:tc>
      </w:tr>
      <w:tr>
        <w:tc>
          <w:tcPr>
            <w:tcW w:type="dxa" w:w="2600"/>
            <w:tcMar>
              <w:top w:type="dxa" w:w="90"/>
              <w:left w:type="dxa" w:w="120"/>
              <w:bottom w:type="dxa" w:w="90"/>
              <w:right w:type="dxa" w:w="120"/>
            </w:tcMar>
          </w:tcPr>
          <w:p>
            <w:pPr>
              <w:spacing w:after="0" w:line="250"/>
            </w:pPr>
            <w:r>
              <w:rPr>
                <w:rFonts w:ascii="Arial" w:cs="Arial" w:eastAsia="Arial" w:hAnsi="Arial"/>
                <w:color w:val="12141A"/>
                <w:sz w:val="19"/>
                <w:szCs w:val="19"/>
              </w:rPr>
              <w:t xml:space="preserve">MHz-POPs in play</w:t>
            </w:r>
          </w:p>
        </w:tc>
        <w:tc>
          <w:tcPr>
            <w:tcW w:type="dxa" w:w="4200"/>
            <w:tcMar>
              <w:top w:type="dxa" w:w="90"/>
              <w:left w:type="dxa" w:w="120"/>
              <w:bottom w:type="dxa" w:w="90"/>
              <w:right w:type="dxa" w:w="120"/>
            </w:tcMar>
          </w:tcPr>
          <w:p>
            <w:pPr>
              <w:spacing w:after="0" w:line="250"/>
            </w:pPr>
            <w:r>
              <w:rPr>
                <w:rFonts w:ascii="Arial" w:cs="Arial" w:eastAsia="Arial" w:hAnsi="Arial"/>
                <w:color w:val="12141A"/>
                <w:sz w:val="19"/>
                <w:szCs w:val="19"/>
              </w:rPr>
              <w:t xml:space="preserve">20 MHz × 4,700,000</w:t>
            </w:r>
          </w:p>
        </w:tc>
        <w:tc>
          <w:tcPr>
            <w:tcW w:type="dxa" w:w="2560"/>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94,000,000</w:t>
            </w:r>
          </w:p>
        </w:tc>
      </w:tr>
      <w:tr>
        <w:tc>
          <w:tcPr>
            <w:tcW w:type="dxa" w:w="26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At the Auction 110 figure</w:t>
            </w:r>
          </w:p>
        </w:tc>
        <w:tc>
          <w:tcPr>
            <w:tcW w:type="dxa" w:w="42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94,000,000 × $0.662</w:t>
            </w:r>
          </w:p>
        </w:tc>
        <w:tc>
          <w:tcPr>
            <w:tcW w:type="dxa" w:w="2560"/>
            <w:shd w:fill="F6F5F2" w:color="auto" w:val="clear"/>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$62.2M</w:t>
            </w:r>
          </w:p>
        </w:tc>
      </w:tr>
      <w:tr>
        <w:tc>
          <w:tcPr>
            <w:tcW w:type="dxa" w:w="2600"/>
            <w:tcMar>
              <w:top w:type="dxa" w:w="90"/>
              <w:left w:type="dxa" w:w="120"/>
              <w:bottom w:type="dxa" w:w="90"/>
              <w:right w:type="dxa" w:w="120"/>
            </w:tcMar>
          </w:tcPr>
          <w:p>
            <w:pPr>
              <w:spacing w:after="0" w:line="250"/>
            </w:pPr>
            <w:r>
              <w:rPr>
                <w:rFonts w:ascii="Arial" w:cs="Arial" w:eastAsia="Arial" w:hAnsi="Arial"/>
                <w:color w:val="12141A"/>
                <w:sz w:val="19"/>
                <w:szCs w:val="19"/>
              </w:rPr>
              <w:t xml:space="preserve">At the Auction 107 figure</w:t>
            </w:r>
          </w:p>
        </w:tc>
        <w:tc>
          <w:tcPr>
            <w:tcW w:type="dxa" w:w="4200"/>
            <w:tcMar>
              <w:top w:type="dxa" w:w="90"/>
              <w:left w:type="dxa" w:w="120"/>
              <w:bottom w:type="dxa" w:w="90"/>
              <w:right w:type="dxa" w:w="120"/>
            </w:tcMar>
          </w:tcPr>
          <w:p>
            <w:pPr>
              <w:spacing w:after="0" w:line="250"/>
            </w:pPr>
            <w:r>
              <w:rPr>
                <w:rFonts w:ascii="Arial" w:cs="Arial" w:eastAsia="Arial" w:hAnsi="Arial"/>
                <w:color w:val="12141A"/>
                <w:sz w:val="19"/>
                <w:szCs w:val="19"/>
              </w:rPr>
              <w:t xml:space="preserve">94,000,000 × $0.852</w:t>
            </w:r>
          </w:p>
        </w:tc>
        <w:tc>
          <w:tcPr>
            <w:tcW w:type="dxa" w:w="2560"/>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$80.1M</w:t>
            </w:r>
          </w:p>
        </w:tc>
      </w:tr>
      <w:tr>
        <w:tc>
          <w:tcPr>
            <w:tcW w:type="dxa" w:w="26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Midpoint</w:t>
            </w:r>
          </w:p>
        </w:tc>
        <w:tc>
          <w:tcPr>
            <w:tcW w:type="dxa" w:w="42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w:t>
            </w:r>
          </w:p>
        </w:tc>
        <w:tc>
          <w:tcPr>
            <w:tcW w:type="dxa" w:w="2560"/>
            <w:shd w:fill="F6F5F2" w:color="auto" w:val="clear"/>
            <w:tcMar>
              <w:top w:type="dxa" w:w="90"/>
              <w:left w:type="dxa" w:w="120"/>
              <w:bottom w:type="dxa" w:w="90"/>
              <w:right w:type="dxa" w:w="120"/>
            </w:tcMar>
          </w:tcPr>
          <w:p>
            <w:pPr>
              <w:spacing w:after="0" w:line="250"/>
              <w:jc w:val="right"/>
            </w:pPr>
            <w:r>
              <w:rPr>
                <w:rFonts w:ascii="Arial" w:cs="Arial" w:eastAsia="Arial" w:hAnsi="Arial"/>
                <w:color w:val="12141A"/>
                <w:sz w:val="19"/>
                <w:szCs w:val="19"/>
              </w:rPr>
              <w:t xml:space="preserve">$71.2M</w:t>
            </w:r>
          </w:p>
        </w:tc>
      </w:tr>
    </w:tbl>
    <w:p>
      <w:pPr>
        <w:spacing w:after="140" w:line="280"/>
      </w:pPr>
      <w:r>
        <w:rPr>
          <w:rFonts w:ascii="Arial" w:cs="Arial" w:eastAsia="Arial" w:hAnsi="Arial"/>
          <w:color w:val="5F6472"/>
          <w:sz w:val="19"/>
          <w:szCs w:val="19"/>
        </w:rPr>
        <w:t xml:space="preserve">Auction 110 cleared below C-band partly because it carries federal coordination zones. If your footprint contains one, the lower figure is the better anchor and you should say so in the paper rather than taking the midpoint.</w:t>
      </w:r>
    </w:p>
    <w:p>
      <w:pPr>
        <w:pStyle w:val="Heading2"/>
        <w:spacing w:after="140" w:before="300"/>
      </w:pPr>
      <w:r>
        <w:rPr>
          <w:rFonts w:ascii="Arial" w:cs="Arial" w:eastAsia="Arial" w:hAnsi="Arial"/>
          <w:b/>
          <w:bCs/>
          <w:color w:val="005DD6"/>
          <w:sz w:val="24"/>
          <w:szCs w:val="24"/>
        </w:rPr>
        <w:t xml:space="preserve">Section 2 — the depth test</w:t>
      </w:r>
    </w:p>
    <w:p>
      <w:pPr>
        <w:spacing w:after="140" w:line="280"/>
      </w:pPr>
      <w:r>
        <w:rPr>
          <w:rFonts w:ascii="Arial" w:cs="Arial" w:eastAsia="Arial" w:hAnsi="Arial"/>
          <w:color w:val="12141A"/>
          <w:sz w:val="21"/>
          <w:szCs w:val="21"/>
        </w:rPr>
        <w:t xml:space="preserve">The operator is selling fixed wireless, not mobile. Its capacity modelling shows the next 10 MHz above 20 adds roughly a fifth of the capacity per megahertz that the first 20 do, because the constraint moves to sites. That is the argument for bidding 20 and not 30, and it is worth more than any comparable in section 1.</w:t>
      </w:r>
    </w:p>
    <w:p>
      <w:pPr>
        <w:pStyle w:val="Heading2"/>
        <w:spacing w:after="140" w:before="300"/>
      </w:pPr>
      <w:r>
        <w:rPr>
          <w:rFonts w:ascii="Arial" w:cs="Arial" w:eastAsia="Arial" w:hAnsi="Arial"/>
          <w:b/>
          <w:bCs/>
          <w:color w:val="005DD6"/>
          <w:sz w:val="24"/>
          <w:szCs w:val="24"/>
        </w:rPr>
        <w:t xml:space="preserve">Section 3 — what it does not buy</w:t>
      </w:r>
    </w:p>
    <w:p>
      <w:pPr>
        <w:pStyle w:val="ListParagraph"/>
        <w:numPr>
          <w:ilvl w:val="0"/>
          <w:numId w:val="3"/>
        </w:numPr>
        <w:spacing w:after="90" w:line="280"/>
      </w:pPr>
      <w:r>
        <w:rPr>
          <w:rFonts w:ascii="Arial" w:cs="Arial" w:eastAsia="Arial" w:hAnsi="Arial"/>
          <w:color w:val="12141A"/>
          <w:sz w:val="21"/>
          <w:szCs w:val="21"/>
        </w:rPr>
        <w:t xml:space="preserve">Mid-band at 3.5 GHz does not give indoor coverage at the edge of the cell. The FWA product is outdoor-CPE; a self-install indoor product would need a different band or more sites.</w:t>
      </w:r>
    </w:p>
    <w:p>
      <w:pPr>
        <w:pStyle w:val="ListParagraph"/>
        <w:numPr>
          <w:ilvl w:val="0"/>
          <w:numId w:val="3"/>
        </w:numPr>
        <w:spacing w:after="90" w:line="280"/>
      </w:pPr>
      <w:r>
        <w:rPr>
          <w:rFonts w:ascii="Arial" w:cs="Arial" w:eastAsia="Arial" w:hAnsi="Arial"/>
          <w:color w:val="12141A"/>
          <w:sz w:val="21"/>
          <w:szCs w:val="21"/>
        </w:rPr>
        <w:t xml:space="preserve">Equipment is available, but a build-out obligation that bites before the site programme completes turns a spectrum decision into a construction decision.</w:t>
      </w:r>
    </w:p>
    <w:p>
      <w:pPr>
        <w:pStyle w:val="Heading2"/>
        <w:spacing w:after="140" w:before="300"/>
      </w:pPr>
      <w:r>
        <w:rPr>
          <w:rFonts w:ascii="Arial" w:cs="Arial" w:eastAsia="Arial" w:hAnsi="Arial"/>
          <w:b/>
          <w:bCs/>
          <w:color w:val="005DD6"/>
          <w:sz w:val="24"/>
          <w:szCs w:val="24"/>
        </w:rPr>
        <w:t xml:space="preserve">Section 4 — who else is bidding</w:t>
      </w:r>
    </w:p>
    <w:p>
      <w:pPr>
        <w:spacing w:after="140" w:line="280"/>
      </w:pPr>
      <w:r>
        <w:rPr>
          <w:rFonts w:ascii="Arial" w:cs="Arial" w:eastAsia="Arial" w:hAnsi="Arial"/>
          <w:color w:val="12141A"/>
          <w:sz w:val="21"/>
          <w:szCs w:val="21"/>
        </w:rPr>
        <w:t xml:space="preserve">Two national carriers hold adjacent depth in this footprint and have no obvious need for more. One regional operator has a stated FWA ambition and a balance sheet that supports a position of this size. The contested markets are the three metros, not the rural counties — which is where a national average would have led exactly the wrong way.</w:t>
      </w:r>
    </w:p>
    <w:p>
      <w:pPr>
        <w:pStyle w:val="Heading2"/>
        <w:spacing w:after="140" w:before="300"/>
      </w:pPr>
      <w:r>
        <w:rPr>
          <w:rFonts w:ascii="Arial" w:cs="Arial" w:eastAsia="Arial" w:hAnsi="Arial"/>
          <w:b/>
          <w:bCs/>
          <w:color w:val="005DD6"/>
          <w:sz w:val="24"/>
          <w:szCs w:val="24"/>
        </w:rPr>
        <w:t xml:space="preserve">Section 5 — the walk-away</w:t>
      </w:r>
    </w:p>
    <w:tbl>
      <w:tblPr>
        <w:tblW w:type="dxa" w:w="9360"/>
        <w:tblBorders>
          <w:top w:val="single" w:color="DCDAD3" w:sz="2"/>
          <w:left w:val="single" w:color="DCDAD3" w:sz="2"/>
          <w:bottom w:val="single" w:color="DCDAD3" w:sz="2"/>
          <w:right w:val="single" w:color="DCDAD3" w:sz="2"/>
          <w:insideH w:val="single" w:color="DCDAD3" w:sz="2"/>
          <w:insideV w:val="single" w:color="DCDAD3" w:sz="2"/>
        </w:tblBorders>
      </w:tblPr>
      <w:tblGrid>
        <w:gridCol w:w="2900"/>
        <w:gridCol w:w="2200"/>
        <w:gridCol w:w="4260"/>
      </w:tblGrid>
      <w:tr>
        <w:trPr>
          <w:tblHeader/>
        </w:trPr>
        <w:tc>
          <w:tcPr>
            <w:tcW w:type="dxa" w:w="29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
            </w:r>
          </w:p>
        </w:tc>
        <w:tc>
          <w:tcPr>
            <w:tcW w:type="dxa" w:w="22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Number</w:t>
            </w:r>
          </w:p>
        </w:tc>
        <w:tc>
          <w:tcPr>
            <w:tcW w:type="dxa" w:w="426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What has to be true</w:t>
            </w:r>
          </w:p>
        </w:tc>
      </w:tr>
      <w:tr>
        <w:tc>
          <w:tcPr>
            <w:tcW w:type="dxa" w:w="2900"/>
            <w:tcMar>
              <w:top w:type="dxa" w:w="90"/>
              <w:left w:type="dxa" w:w="120"/>
              <w:bottom w:type="dxa" w:w="90"/>
              <w:right w:type="dxa" w:w="120"/>
            </w:tcMar>
          </w:tcPr>
          <w:p>
            <w:pPr>
              <w:spacing w:after="0" w:line="250"/>
            </w:pPr>
            <w:r>
              <w:rPr>
                <w:rFonts w:ascii="Arial" w:cs="Arial" w:eastAsia="Arial" w:hAnsi="Arial"/>
                <w:color w:val="12141A"/>
                <w:sz w:val="19"/>
                <w:szCs w:val="19"/>
              </w:rPr>
              <w:t xml:space="preserve">Walk-away, per MHz-POP</w:t>
            </w:r>
          </w:p>
        </w:tc>
        <w:tc>
          <w:tcPr>
            <w:tcW w:type="dxa" w:w="2200"/>
            <w:tcMar>
              <w:top w:type="dxa" w:w="90"/>
              <w:left w:type="dxa" w:w="120"/>
              <w:bottom w:type="dxa" w:w="90"/>
              <w:right w:type="dxa" w:w="120"/>
            </w:tcMar>
          </w:tcPr>
          <w:p>
            <w:pPr>
              <w:spacing w:after="0" w:line="250"/>
            </w:pPr>
            <w:r>
              <w:rPr>
                <w:rFonts w:ascii="Arial" w:cs="Arial" w:eastAsia="Arial" w:hAnsi="Arial"/>
                <w:color w:val="12141A"/>
                <w:sz w:val="19"/>
                <w:szCs w:val="19"/>
              </w:rPr>
              <w:t xml:space="preserve">$0.75</w:t>
            </w:r>
          </w:p>
        </w:tc>
        <w:tc>
          <w:tcPr>
            <w:tcW w:type="dxa" w:w="4260"/>
            <w:tcMar>
              <w:top w:type="dxa" w:w="90"/>
              <w:left w:type="dxa" w:w="120"/>
              <w:bottom w:type="dxa" w:w="90"/>
              <w:right w:type="dxa" w:w="120"/>
            </w:tcMar>
          </w:tcPr>
          <w:p>
            <w:pPr>
              <w:spacing w:after="0" w:line="250"/>
            </w:pPr>
            <w:r>
              <w:rPr>
                <w:rFonts w:ascii="Arial" w:cs="Arial" w:eastAsia="Arial" w:hAnsi="Arial"/>
                <w:color w:val="12141A"/>
                <w:sz w:val="19"/>
                <w:szCs w:val="19"/>
              </w:rPr>
              <w:t xml:space="preserve">FWA take-up reaches 9% of passings within three years</w:t>
            </w:r>
          </w:p>
        </w:tc>
      </w:tr>
      <w:tr>
        <w:tc>
          <w:tcPr>
            <w:tcW w:type="dxa" w:w="29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Walk-away, total</w:t>
            </w:r>
          </w:p>
        </w:tc>
        <w:tc>
          <w:tcPr>
            <w:tcW w:type="dxa" w:w="22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$70.5M</w:t>
            </w:r>
          </w:p>
        </w:tc>
        <w:tc>
          <w:tcPr>
            <w:tcW w:type="dxa" w:w="426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Site programme completes inside the build-out obligation</w:t>
            </w:r>
          </w:p>
        </w:tc>
      </w:tr>
      <w:tr>
        <w:tc>
          <w:tcPr>
            <w:tcW w:type="dxa" w:w="2900"/>
            <w:tcMar>
              <w:top w:type="dxa" w:w="90"/>
              <w:left w:type="dxa" w:w="120"/>
              <w:bottom w:type="dxa" w:w="90"/>
              <w:right w:type="dxa" w:w="120"/>
            </w:tcMar>
          </w:tcPr>
          <w:p>
            <w:pPr>
              <w:spacing w:after="0" w:line="250"/>
            </w:pPr>
            <w:r>
              <w:rPr>
                <w:rFonts w:ascii="Arial" w:cs="Arial" w:eastAsia="Arial" w:hAnsi="Arial"/>
                <w:color w:val="12141A"/>
                <w:sz w:val="19"/>
                <w:szCs w:val="19"/>
              </w:rPr>
              <w:t xml:space="preserve">Authorised to change it</w:t>
            </w:r>
          </w:p>
        </w:tc>
        <w:tc>
          <w:tcPr>
            <w:tcW w:type="dxa" w:w="2200"/>
            <w:tcMar>
              <w:top w:type="dxa" w:w="90"/>
              <w:left w:type="dxa" w:w="120"/>
              <w:bottom w:type="dxa" w:w="90"/>
              <w:right w:type="dxa" w:w="120"/>
            </w:tcMar>
          </w:tcPr>
          <w:p>
            <w:pPr>
              <w:spacing w:after="0" w:line="250"/>
            </w:pPr>
            <w:r>
              <w:rPr>
                <w:rFonts w:ascii="Arial" w:cs="Arial" w:eastAsia="Arial" w:hAnsi="Arial"/>
                <w:color w:val="12141A"/>
                <w:sz w:val="19"/>
                <w:szCs w:val="19"/>
              </w:rPr>
              <w:t xml:space="preserve">CFO, on evidence only</w:t>
            </w:r>
          </w:p>
        </w:tc>
        <w:tc>
          <w:tcPr>
            <w:tcW w:type="dxa" w:w="4260"/>
            <w:tcMar>
              <w:top w:type="dxa" w:w="90"/>
              <w:left w:type="dxa" w:w="120"/>
              <w:bottom w:type="dxa" w:w="90"/>
              <w:right w:type="dxa" w:w="120"/>
            </w:tcMar>
          </w:tcPr>
          <w:p>
            <w:pPr>
              <w:spacing w:after="0" w:line="250"/>
            </w:pPr>
            <w:r>
              <w:rPr>
                <w:rFonts w:ascii="Arial" w:cs="Arial" w:eastAsia="Arial" w:hAnsi="Arial"/>
                <w:color w:val="12141A"/>
                <w:sz w:val="19"/>
                <w:szCs w:val="19"/>
              </w:rPr>
              <w:t xml:space="preserve">A competitor’s bid is not evidence</w:t>
            </w:r>
          </w:p>
        </w:tc>
      </w:tr>
    </w:tbl>
    <w:p>
      <w:pPr>
        <w:spacing w:after="140" w:line="280"/>
      </w:pPr>
      <w:r>
        <w:rPr>
          <w:rFonts w:ascii="Arial" w:cs="Arial" w:eastAsia="Arial" w:hAnsi="Arial"/>
          <w:color w:val="5F6472"/>
          <w:sz w:val="19"/>
          <w:szCs w:val="19"/>
        </w:rPr>
        <w:t xml:space="preserve">The walk-away sits below the midpoint of the comparables. That is deliberate: the comparables are national auctions won by national carriers with national economics, and this operator is neither. A board paper that explains why the number is below the comparable is stronger than one that explains why it is above.</w:t>
      </w:r>
    </w:p>
    <w:p>
      <w:pPr>
        <w:pStyle w:val="Heading1"/>
        <w:spacing w:after="140" w:before="360"/>
      </w:pPr>
      <w:r>
        <w:rPr>
          <w:rFonts w:ascii="Arial" w:cs="Arial" w:eastAsia="Arial" w:hAnsi="Arial"/>
          <w:b/>
          <w:bCs/>
          <w:color w:val="12141A"/>
          <w:sz w:val="30"/>
          <w:szCs w:val="30"/>
        </w:rPr>
        <w:t xml:space="preserve">What to do with the output</w:t>
      </w:r>
    </w:p>
    <w:p>
      <w:pPr>
        <w:pStyle w:val="ListParagraph"/>
        <w:numPr>
          <w:ilvl w:val="0"/>
          <w:numId w:val="3"/>
        </w:numPr>
        <w:spacing w:after="90" w:line="280"/>
      </w:pPr>
      <w:r>
        <w:rPr>
          <w:rFonts w:ascii="Arial" w:cs="Arial" w:eastAsia="Arial" w:hAnsi="Arial"/>
          <w:color w:val="12141A"/>
          <w:sz w:val="21"/>
          <w:szCs w:val="21"/>
        </w:rPr>
        <w:t xml:space="preserve">The five section answers are the board paper. They are not an appendix to it.</w:t>
      </w:r>
    </w:p>
    <w:p>
      <w:pPr>
        <w:pStyle w:val="ListParagraph"/>
        <w:numPr>
          <w:ilvl w:val="0"/>
          <w:numId w:val="3"/>
        </w:numPr>
        <w:spacing w:after="90" w:line="280"/>
      </w:pPr>
      <w:r>
        <w:rPr>
          <w:rFonts w:ascii="Arial" w:cs="Arial" w:eastAsia="Arial" w:hAnsi="Arial"/>
          <w:color w:val="12141A"/>
          <w:sz w:val="21"/>
          <w:szCs w:val="21"/>
        </w:rPr>
        <w:t xml:space="preserve">Record the date and the source of every figure. Auction results get restated and filings get amended.</w:t>
      </w:r>
    </w:p>
    <w:p>
      <w:pPr>
        <w:pStyle w:val="ListParagraph"/>
        <w:numPr>
          <w:ilvl w:val="0"/>
          <w:numId w:val="3"/>
        </w:numPr>
        <w:spacing w:after="90" w:line="280"/>
      </w:pPr>
      <w:r>
        <w:rPr>
          <w:rFonts w:ascii="Arial" w:cs="Arial" w:eastAsia="Arial" w:hAnsi="Arial"/>
          <w:color w:val="12141A"/>
          <w:sz w:val="21"/>
          <w:szCs w:val="21"/>
        </w:rPr>
        <w:t xml:space="preserve">Put the walk-away in front of the board before the auction, not the bid strategy. Boards approve numbers; they cannot approve judgement exercised in real time.</w:t>
      </w:r>
    </w:p>
    <w:p>
      <w:pPr>
        <w:pStyle w:val="ListParagraph"/>
        <w:numPr>
          <w:ilvl w:val="0"/>
          <w:numId w:val="3"/>
        </w:numPr>
        <w:spacing w:after="90" w:line="280"/>
      </w:pPr>
      <w:r>
        <w:rPr>
          <w:rFonts w:ascii="Arial" w:cs="Arial" w:eastAsia="Arial" w:hAnsi="Arial"/>
          <w:color w:val="12141A"/>
          <w:sz w:val="21"/>
          <w:szCs w:val="21"/>
        </w:rPr>
        <w:t xml:space="preserve">Revisit section 4 after the short-form applications are published. That is the first point at which who is actually in the room stops being a guess.</w:t>
      </w:r>
    </w:p>
    <w:p>
      <w:pPr>
        <w:pStyle w:val="Heading1"/>
        <w:spacing w:after="140" w:before="360"/>
      </w:pPr>
      <w:r>
        <w:rPr>
          <w:rFonts w:ascii="Arial" w:cs="Arial" w:eastAsia="Arial" w:hAnsi="Arial"/>
          <w:b/>
          <w:bCs/>
          <w:color w:val="12141A"/>
          <w:sz w:val="30"/>
          <w:szCs w:val="30"/>
        </w:rPr>
        <w:t xml:space="preserve">Sources</w:t>
      </w:r>
    </w:p>
    <w:p>
      <w:pPr>
        <w:spacing w:after="140" w:line="280"/>
      </w:pPr>
      <w:r>
        <w:rPr>
          <w:rFonts w:ascii="Arial" w:cs="Arial" w:eastAsia="Arial" w:hAnsi="Arial"/>
          <w:color w:val="12141A"/>
          <w:sz w:val="19"/>
          <w:szCs w:val="19"/>
        </w:rPr>
        <w:t xml:space="preserve">FCC auction results files for Auctions 105, 107, 108, 110 and 113 (auctiondata.fcc.gov); US Census Bureau 2024 vintage county population estimates; EchoStar Corporation Forms 8-K filed 8 September 2025, 6 November 2025 and 3 August 2026; FCC news release of 12 May 2026. All figures retrieved 17 September 2026 and computed by Blue Prysm from those sources.</w:t>
      </w:r>
    </w:p>
    <w:p>
      <w:pPr>
        <w:spacing w:after="140" w:line="280"/>
      </w:pPr>
      <w:r>
        <w:rPr>
          <w:rFonts w:ascii="Arial" w:cs="Arial" w:eastAsia="Arial" w:hAnsi="Arial"/>
          <w:color w:val="5F6472"/>
          <w:sz w:val="19"/>
          <w:szCs w:val="19"/>
        </w:rPr>
        <w:t xml:space="preserve">The worked example uses real comparables and an illustrative position. It is not a client engagement and the operator does not exist.</w:t>
      </w:r>
    </w:p>
    <w:p>
      <w:pPr>
        <w:pBdr>
          <w:bottom w:val="single" w:color="DCDAD3" w:sz="6"/>
        </w:pBdr>
        <w:spacing w:after="200" w:before="60"/>
      </w:pPr>
    </w:p>
    <w:p>
      <w:pPr>
        <w:spacing w:after="140" w:line="280"/>
      </w:pPr>
      <w:r>
        <w:rPr>
          <w:rFonts w:ascii="Arial" w:cs="Arial" w:eastAsia="Arial" w:hAnsi="Arial"/>
          <w:color w:val="5F6472"/>
          <w:sz w:val="18"/>
          <w:szCs w:val="18"/>
        </w:rPr>
        <w:t xml:space="preserve">Corrections are welcome and are published on the piece that carried the error: hello@blueprysm.com</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F6472"/>
        <w:sz w:val="16"/>
        <w:szCs w:val="16"/>
      </w:rPr>
      <w:t xml:space="preserve">Blue Prysm · Spectrum position review checklist · page </w:t>
    </w:r>
    <w:r>
      <w:rPr>
        <w:rFonts w:ascii="Arial" w:cs="Arial" w:eastAsia="Arial" w:hAnsi="Arial"/>
        <w:color w:val="5F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bullet"/>
      <w:lvlText w:val="□"/>
      <w:lvlJc w:val="left"/>
      <w:pPr>
        <w:ind w:left="400" w:hanging="28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214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Spectrum position review checklist</dc:title>
  <dc:creator>Blue Prysm</dc:creator>
  <dc:description>A checklist for arriving at a defensible number before a spectrum auction or transaction.</dc:description>
  <cp:lastModifiedBy>Un-named</cp:lastModifiedBy>
  <cp:revision>1</cp:revision>
  <dcterms:created xsi:type="dcterms:W3CDTF">2026-09-30T00:02:33.602Z</dcterms:created>
  <dcterms:modified xsi:type="dcterms:W3CDTF">2026-09-30T00:02:33.602Z</dcterms:modified>
</cp:coreProperties>
</file>

<file path=docProps/custom.xml><?xml version="1.0" encoding="utf-8"?>
<Properties xmlns="http://schemas.openxmlformats.org/officeDocument/2006/custom-properties" xmlns:vt="http://schemas.openxmlformats.org/officeDocument/2006/docPropsVTypes"/>
</file>